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048D2" w14:textId="77777777" w:rsidR="00711FE8" w:rsidRDefault="00711FE8">
      <w:pPr>
        <w:pStyle w:val="Titel"/>
      </w:pPr>
      <w:r>
        <w:t>Zürcher Anwaltsverband</w:t>
      </w:r>
    </w:p>
    <w:p w14:paraId="3E76896A" w14:textId="77777777" w:rsidR="00711FE8" w:rsidRDefault="00711FE8">
      <w:pPr>
        <w:tabs>
          <w:tab w:val="left" w:pos="20"/>
          <w:tab w:val="right" w:pos="9360"/>
        </w:tabs>
        <w:ind w:left="20"/>
        <w:rPr>
          <w:sz w:val="14"/>
        </w:rPr>
      </w:pPr>
    </w:p>
    <w:p w14:paraId="64827B5A" w14:textId="77777777" w:rsidR="00711FE8" w:rsidRDefault="00711FE8">
      <w:pPr>
        <w:tabs>
          <w:tab w:val="left" w:pos="20"/>
          <w:tab w:val="right" w:pos="9360"/>
        </w:tabs>
        <w:rPr>
          <w:sz w:val="14"/>
          <w:u w:val="single"/>
        </w:rPr>
      </w:pPr>
      <w:r>
        <w:rPr>
          <w:sz w:val="14"/>
          <w:u w:val="single"/>
        </w:rPr>
        <w:tab/>
      </w:r>
      <w:r>
        <w:rPr>
          <w:sz w:val="14"/>
          <w:u w:val="single"/>
        </w:rPr>
        <w:tab/>
      </w:r>
    </w:p>
    <w:p w14:paraId="7CC30F59" w14:textId="77777777" w:rsidR="00711FE8" w:rsidRDefault="00711FE8">
      <w:pPr>
        <w:tabs>
          <w:tab w:val="left" w:pos="20"/>
          <w:tab w:val="right" w:pos="9360"/>
        </w:tabs>
        <w:rPr>
          <w:sz w:val="14"/>
        </w:rPr>
      </w:pPr>
    </w:p>
    <w:p w14:paraId="6230B97F" w14:textId="77777777" w:rsidR="00711FE8" w:rsidRDefault="00711FE8">
      <w:pPr>
        <w:tabs>
          <w:tab w:val="left" w:pos="20"/>
          <w:tab w:val="right" w:pos="9360"/>
        </w:tabs>
        <w:ind w:left="20"/>
        <w:jc w:val="center"/>
        <w:rPr>
          <w:b/>
          <w:sz w:val="36"/>
        </w:rPr>
      </w:pPr>
    </w:p>
    <w:p w14:paraId="02493A32" w14:textId="77777777" w:rsidR="00711FE8" w:rsidRDefault="00711FE8">
      <w:pPr>
        <w:tabs>
          <w:tab w:val="left" w:pos="20"/>
          <w:tab w:val="right" w:pos="9360"/>
        </w:tabs>
        <w:ind w:left="20"/>
        <w:jc w:val="center"/>
        <w:rPr>
          <w:b/>
          <w:sz w:val="28"/>
        </w:rPr>
      </w:pPr>
      <w:r>
        <w:rPr>
          <w:b/>
          <w:sz w:val="36"/>
        </w:rPr>
        <w:t>VOLLMACHT</w:t>
      </w:r>
    </w:p>
    <w:p w14:paraId="4E4A49B5" w14:textId="77777777" w:rsidR="00711FE8" w:rsidRDefault="00711FE8">
      <w:pPr>
        <w:tabs>
          <w:tab w:val="left" w:pos="20"/>
          <w:tab w:val="right" w:pos="9360"/>
        </w:tabs>
        <w:rPr>
          <w:sz w:val="28"/>
        </w:rPr>
      </w:pPr>
    </w:p>
    <w:p w14:paraId="12FA91C8" w14:textId="77777777" w:rsidR="00711FE8" w:rsidRDefault="00711FE8">
      <w:pPr>
        <w:jc w:val="center"/>
        <w:rPr>
          <w:rFonts w:ascii="Arial" w:hAnsi="Arial"/>
          <w:sz w:val="18"/>
        </w:rPr>
      </w:pPr>
      <w:r>
        <w:rPr>
          <w:rFonts w:ascii="Arial" w:hAnsi="Arial"/>
          <w:sz w:val="18"/>
        </w:rPr>
        <w:t xml:space="preserve">Rechtsanwalt </w:t>
      </w:r>
    </w:p>
    <w:p w14:paraId="31B754CA" w14:textId="77777777" w:rsidR="00711FE8" w:rsidRDefault="00711FE8">
      <w:pPr>
        <w:rPr>
          <w:rFonts w:ascii="Arial" w:hAnsi="Arial"/>
          <w:sz w:val="18"/>
        </w:rPr>
      </w:pPr>
    </w:p>
    <w:p w14:paraId="613C8686" w14:textId="2758AFFA" w:rsidR="00711FE8" w:rsidRDefault="00967EC6">
      <w:pPr>
        <w:jc w:val="center"/>
        <w:rPr>
          <w:rFonts w:ascii="Arial" w:hAnsi="Arial"/>
          <w:sz w:val="24"/>
        </w:rPr>
      </w:pPr>
      <w:r>
        <w:rPr>
          <w:rFonts w:ascii="Arial" w:hAnsi="Arial"/>
          <w:sz w:val="28"/>
        </w:rPr>
        <w:t>Lic. iur. Marc Mayr LL.M</w:t>
      </w:r>
      <w:r w:rsidR="003B460A">
        <w:rPr>
          <w:rFonts w:ascii="Arial" w:hAnsi="Arial"/>
          <w:sz w:val="28"/>
        </w:rPr>
        <w:t>.</w:t>
      </w:r>
    </w:p>
    <w:p w14:paraId="6A01A4E9" w14:textId="42B97879" w:rsidR="00711FE8" w:rsidRPr="004020BD" w:rsidRDefault="004020BD">
      <w:pPr>
        <w:jc w:val="center"/>
        <w:rPr>
          <w:rFonts w:ascii="Arial" w:hAnsi="Arial"/>
        </w:rPr>
      </w:pPr>
      <w:r w:rsidRPr="004020BD">
        <w:rPr>
          <w:rFonts w:ascii="Arial" w:hAnsi="Arial"/>
        </w:rPr>
        <w:t>Forchstrasse 5, Postfach 252, 8032 Zürich</w:t>
      </w:r>
    </w:p>
    <w:p w14:paraId="5C205D81" w14:textId="77777777" w:rsidR="00711FE8" w:rsidRDefault="00711FE8">
      <w:pPr>
        <w:jc w:val="center"/>
        <w:rPr>
          <w:rFonts w:ascii="Arial" w:hAnsi="Arial"/>
          <w:sz w:val="18"/>
        </w:rPr>
      </w:pPr>
      <w:r>
        <w:rPr>
          <w:rFonts w:ascii="Arial" w:hAnsi="Arial"/>
          <w:sz w:val="18"/>
        </w:rPr>
        <w:t>Mitglied des Schweizerischen Anwaltsverbandes</w:t>
      </w:r>
    </w:p>
    <w:p w14:paraId="6247E1A6" w14:textId="77777777" w:rsidR="00C44AB6" w:rsidRDefault="00C44AB6">
      <w:pPr>
        <w:tabs>
          <w:tab w:val="left" w:pos="20"/>
          <w:tab w:val="left" w:pos="1418"/>
          <w:tab w:val="right" w:pos="9360"/>
        </w:tabs>
        <w:ind w:left="20"/>
        <w:rPr>
          <w:sz w:val="18"/>
        </w:rPr>
      </w:pPr>
    </w:p>
    <w:p w14:paraId="210C63ED" w14:textId="77777777" w:rsidR="00711FE8" w:rsidRDefault="00711FE8" w:rsidP="00ED7CA9">
      <w:pPr>
        <w:tabs>
          <w:tab w:val="left" w:pos="20"/>
          <w:tab w:val="left" w:pos="1418"/>
          <w:tab w:val="right" w:pos="9360"/>
        </w:tabs>
        <w:rPr>
          <w:sz w:val="18"/>
        </w:rPr>
      </w:pPr>
    </w:p>
    <w:p w14:paraId="736251A3" w14:textId="00E40012" w:rsidR="00ED7CA9" w:rsidRPr="00A11C8D" w:rsidRDefault="00711FE8" w:rsidP="00ED7CA9">
      <w:pPr>
        <w:tabs>
          <w:tab w:val="left" w:pos="20"/>
          <w:tab w:val="left" w:pos="1418"/>
          <w:tab w:val="left" w:pos="5387"/>
          <w:tab w:val="right" w:pos="9356"/>
        </w:tabs>
        <w:ind w:left="20"/>
        <w:rPr>
          <w:rFonts w:ascii="Helvetica Neue" w:hAnsi="Helvetica Neue" w:cs="Helvetica Neue"/>
          <w:noProof w:val="0"/>
          <w:color w:val="000000"/>
          <w:sz w:val="22"/>
          <w:szCs w:val="22"/>
        </w:rPr>
      </w:pPr>
      <w:r>
        <w:rPr>
          <w:rFonts w:ascii="Arial" w:hAnsi="Arial"/>
          <w:sz w:val="18"/>
        </w:rPr>
        <w:t xml:space="preserve">wird in Sachen </w:t>
      </w:r>
      <w:r>
        <w:rPr>
          <w:rFonts w:ascii="Arial" w:hAnsi="Arial"/>
          <w:sz w:val="18"/>
        </w:rPr>
        <w:tab/>
      </w:r>
      <w:r w:rsidR="00C44E25">
        <w:rPr>
          <w:rFonts w:ascii="Arial" w:hAnsi="Arial"/>
          <w:sz w:val="22"/>
          <w:szCs w:val="22"/>
        </w:rPr>
        <w:t>….</w:t>
      </w:r>
    </w:p>
    <w:p w14:paraId="1DE2D28D" w14:textId="77777777" w:rsidR="00ED7CA9" w:rsidRDefault="00ED7CA9" w:rsidP="006151CB">
      <w:pPr>
        <w:tabs>
          <w:tab w:val="left" w:pos="20"/>
          <w:tab w:val="left" w:pos="1418"/>
          <w:tab w:val="left" w:pos="5387"/>
          <w:tab w:val="right" w:pos="9356"/>
        </w:tabs>
        <w:ind w:left="20"/>
        <w:jc w:val="center"/>
        <w:rPr>
          <w:rFonts w:ascii="Arial" w:hAnsi="Arial"/>
          <w:sz w:val="18"/>
          <w:u w:val="single"/>
        </w:rPr>
      </w:pPr>
    </w:p>
    <w:p w14:paraId="21B43A46" w14:textId="77777777" w:rsidR="00ED7CA9" w:rsidRDefault="00ED7CA9" w:rsidP="00ED7CA9">
      <w:pPr>
        <w:tabs>
          <w:tab w:val="left" w:pos="20"/>
          <w:tab w:val="left" w:pos="1418"/>
          <w:tab w:val="left" w:pos="5387"/>
          <w:tab w:val="right" w:pos="9356"/>
        </w:tabs>
        <w:ind w:left="20"/>
        <w:rPr>
          <w:rFonts w:ascii="Arial" w:hAnsi="Arial"/>
          <w:sz w:val="18"/>
          <w:u w:val="single"/>
        </w:rPr>
      </w:pPr>
    </w:p>
    <w:p w14:paraId="1A2C5B1C" w14:textId="77777777" w:rsidR="00225AC9" w:rsidRDefault="00225AC9" w:rsidP="00967EC6">
      <w:pPr>
        <w:tabs>
          <w:tab w:val="left" w:pos="20"/>
          <w:tab w:val="left" w:pos="1418"/>
          <w:tab w:val="left" w:pos="5387"/>
          <w:tab w:val="right" w:pos="9356"/>
        </w:tabs>
        <w:ind w:left="20"/>
        <w:rPr>
          <w:rFonts w:ascii="Arial" w:hAnsi="Arial"/>
          <w:sz w:val="18"/>
        </w:rPr>
      </w:pPr>
    </w:p>
    <w:p w14:paraId="11B5FB11" w14:textId="102100D3" w:rsidR="00122ECA" w:rsidRDefault="00711FE8" w:rsidP="00967EC6">
      <w:pPr>
        <w:tabs>
          <w:tab w:val="left" w:pos="20"/>
          <w:tab w:val="left" w:pos="1418"/>
          <w:tab w:val="left" w:pos="5387"/>
          <w:tab w:val="right" w:pos="9356"/>
        </w:tabs>
        <w:ind w:left="20"/>
        <w:rPr>
          <w:rFonts w:ascii="Arial" w:hAnsi="Arial"/>
          <w:sz w:val="18"/>
        </w:rPr>
      </w:pPr>
      <w:r>
        <w:rPr>
          <w:rFonts w:ascii="Arial" w:hAnsi="Arial"/>
          <w:sz w:val="18"/>
        </w:rPr>
        <w:t>betreffend</w:t>
      </w:r>
      <w:r>
        <w:rPr>
          <w:rFonts w:ascii="Arial" w:hAnsi="Arial"/>
          <w:sz w:val="18"/>
        </w:rPr>
        <w:tab/>
      </w:r>
      <w:r w:rsidR="00C44E25">
        <w:rPr>
          <w:rFonts w:ascii="Arial" w:hAnsi="Arial"/>
          <w:sz w:val="22"/>
          <w:szCs w:val="22"/>
        </w:rPr>
        <w:t>…..</w:t>
      </w:r>
      <w:r w:rsidR="00A11C8D">
        <w:rPr>
          <w:rFonts w:ascii="Arial" w:hAnsi="Arial"/>
          <w:sz w:val="18"/>
        </w:rPr>
        <w:t xml:space="preserve"> </w:t>
      </w:r>
    </w:p>
    <w:p w14:paraId="13ACA569" w14:textId="77777777" w:rsidR="00A11C8D" w:rsidRDefault="00A11C8D" w:rsidP="00967EC6">
      <w:pPr>
        <w:tabs>
          <w:tab w:val="left" w:pos="20"/>
          <w:tab w:val="left" w:pos="1418"/>
          <w:tab w:val="left" w:pos="5387"/>
          <w:tab w:val="right" w:pos="9356"/>
        </w:tabs>
        <w:ind w:left="20"/>
        <w:rPr>
          <w:rFonts w:ascii="Arial" w:hAnsi="Arial"/>
          <w:sz w:val="18"/>
        </w:rPr>
      </w:pPr>
    </w:p>
    <w:p w14:paraId="32B0062F" w14:textId="0D6D765F" w:rsidR="00711FE8" w:rsidRDefault="00F72A7C" w:rsidP="00967EC6">
      <w:pPr>
        <w:tabs>
          <w:tab w:val="left" w:pos="20"/>
          <w:tab w:val="left" w:pos="1418"/>
          <w:tab w:val="left" w:pos="5387"/>
          <w:tab w:val="right" w:pos="9356"/>
        </w:tabs>
        <w:ind w:left="20"/>
        <w:rPr>
          <w:rFonts w:ascii="Arial" w:hAnsi="Arial"/>
          <w:sz w:val="18"/>
          <w:u w:val="single"/>
        </w:rPr>
      </w:pPr>
      <w:r>
        <w:rPr>
          <w:rFonts w:ascii="Arial" w:hAnsi="Arial"/>
          <w:sz w:val="18"/>
        </w:rPr>
        <w:t xml:space="preserve"> </w:t>
      </w:r>
    </w:p>
    <w:p w14:paraId="3B52024A" w14:textId="77777777" w:rsidR="00711FE8" w:rsidRDefault="00711FE8" w:rsidP="00967EC6">
      <w:pPr>
        <w:tabs>
          <w:tab w:val="left" w:pos="20"/>
          <w:tab w:val="right" w:pos="9360"/>
        </w:tabs>
        <w:ind w:left="20" w:firstLine="240"/>
        <w:rPr>
          <w:rFonts w:ascii="Arial" w:hAnsi="Arial"/>
          <w:sz w:val="18"/>
        </w:rPr>
      </w:pPr>
      <w:r>
        <w:rPr>
          <w:rFonts w:ascii="Arial" w:hAnsi="Arial"/>
          <w:sz w:val="18"/>
        </w:rPr>
        <w:t>Die Vollmacht schliesst insbesondere ein: aussergerichtliche Vertretung, Vertretung vor allen Gerichten, Verwaltungsbehörden und Schiedsgerichten, Abschluss von Gerichtsstandsvereinbarungen und Schiedsverträgen, Ergreifung von Rechtsmitteln, Abgabe von Abstandserklärungen, Abschluss von Vergleichen,</w:t>
      </w:r>
      <w:r>
        <w:rPr>
          <w:rFonts w:ascii="Arial" w:hAnsi="Arial"/>
          <w:b/>
          <w:sz w:val="18"/>
        </w:rPr>
        <w:t xml:space="preserve"> </w:t>
      </w:r>
      <w:r>
        <w:rPr>
          <w:rFonts w:ascii="Arial" w:hAnsi="Arial"/>
          <w:sz w:val="18"/>
        </w:rPr>
        <w:t xml:space="preserve">Vollzug von Urteilen und abgeschlossenen Vergleichen, Empfangnahme und Herausgabe von Wertschriften, Zahlungen und anderen Streitgegenständen, Anhebung und Durchführung von Schuldbetreibungen, einschliesslich Stellung des Konkursbegehrens, Vertretung in Erbschaftssachen und bei öffentlichen Beurkundungen und Grundbuchgeschäften, Vertretung in Strafsachen, insbesondere Stellung und Rückzug von Strafklagen und </w:t>
      </w:r>
      <w:r>
        <w:rPr>
          <w:rFonts w:ascii="Arial" w:hAnsi="Arial"/>
          <w:sz w:val="18"/>
        </w:rPr>
        <w:noBreakHyphen/>
        <w:t>anträgen.</w:t>
      </w:r>
    </w:p>
    <w:p w14:paraId="542EB091" w14:textId="77777777" w:rsidR="00711FE8" w:rsidRDefault="00711FE8" w:rsidP="00967EC6">
      <w:pPr>
        <w:tabs>
          <w:tab w:val="left" w:pos="20"/>
          <w:tab w:val="right" w:pos="9360"/>
        </w:tabs>
        <w:rPr>
          <w:rFonts w:ascii="Arial" w:hAnsi="Arial"/>
          <w:sz w:val="18"/>
        </w:rPr>
      </w:pPr>
    </w:p>
    <w:p w14:paraId="1E3882CB" w14:textId="77777777" w:rsidR="00711FE8" w:rsidRDefault="00711FE8" w:rsidP="00967EC6">
      <w:pPr>
        <w:tabs>
          <w:tab w:val="left" w:pos="20"/>
          <w:tab w:val="right" w:pos="9360"/>
        </w:tabs>
        <w:ind w:left="20" w:firstLine="240"/>
        <w:rPr>
          <w:rFonts w:ascii="Arial" w:hAnsi="Arial"/>
          <w:sz w:val="18"/>
        </w:rPr>
      </w:pPr>
      <w:r>
        <w:rPr>
          <w:rFonts w:ascii="Arial" w:hAnsi="Arial"/>
          <w:sz w:val="18"/>
        </w:rPr>
        <w:t xml:space="preserve">Abweichende prozessrechtliche Bestimmungen vorbehalten, erlischt diese Vollmacht </w:t>
      </w:r>
      <w:r>
        <w:rPr>
          <w:rFonts w:ascii="Arial" w:hAnsi="Arial"/>
          <w:b/>
          <w:sz w:val="18"/>
        </w:rPr>
        <w:t xml:space="preserve">nicht mit dem </w:t>
      </w:r>
      <w:r>
        <w:rPr>
          <w:rFonts w:ascii="Arial" w:hAnsi="Arial"/>
          <w:sz w:val="18"/>
        </w:rPr>
        <w:t>Ableben, der Verschollenerklärung, dem Verlust der Handlungsfähigkeit oder dem Konkurs der Klientschaft.</w:t>
      </w:r>
    </w:p>
    <w:p w14:paraId="063F87E4" w14:textId="77777777" w:rsidR="00A541CA" w:rsidRDefault="00A541CA" w:rsidP="00967EC6">
      <w:pPr>
        <w:tabs>
          <w:tab w:val="left" w:pos="20"/>
          <w:tab w:val="right" w:pos="9360"/>
        </w:tabs>
        <w:ind w:left="20" w:firstLine="240"/>
        <w:rPr>
          <w:rFonts w:ascii="Arial" w:hAnsi="Arial"/>
          <w:sz w:val="18"/>
        </w:rPr>
      </w:pPr>
    </w:p>
    <w:p w14:paraId="54328907" w14:textId="1F1BE3CF" w:rsidR="00711FE8" w:rsidRDefault="00711FE8" w:rsidP="00967EC6">
      <w:pPr>
        <w:tabs>
          <w:tab w:val="left" w:pos="20"/>
          <w:tab w:val="right" w:pos="9360"/>
        </w:tabs>
        <w:ind w:left="20" w:firstLine="240"/>
        <w:rPr>
          <w:rFonts w:ascii="Arial" w:hAnsi="Arial"/>
          <w:sz w:val="18"/>
        </w:rPr>
      </w:pPr>
      <w:r>
        <w:rPr>
          <w:rFonts w:ascii="Arial" w:hAnsi="Arial"/>
          <w:sz w:val="18"/>
        </w:rPr>
        <w:t>Die Klientschaft beauftragt die Bevollmächtigten, das Inkasso der zugesprochenen Streitsumme zu besorgen. Ferner tritt die</w:t>
      </w:r>
      <w:r>
        <w:rPr>
          <w:rFonts w:ascii="Arial" w:hAnsi="Arial"/>
          <w:b/>
          <w:sz w:val="18"/>
        </w:rPr>
        <w:t xml:space="preserve"> </w:t>
      </w:r>
      <w:r>
        <w:rPr>
          <w:rFonts w:ascii="Arial" w:hAnsi="Arial"/>
          <w:sz w:val="18"/>
        </w:rPr>
        <w:t xml:space="preserve">Klientschaft den Bevollmächtigten allfällige Prozessentschädigungen </w:t>
      </w:r>
      <w:r w:rsidR="004020BD">
        <w:rPr>
          <w:rFonts w:ascii="Arial" w:hAnsi="Arial"/>
          <w:sz w:val="18"/>
        </w:rPr>
        <w:t xml:space="preserve">und Inkassi </w:t>
      </w:r>
      <w:r>
        <w:rPr>
          <w:rFonts w:ascii="Arial" w:hAnsi="Arial"/>
          <w:sz w:val="18"/>
        </w:rPr>
        <w:t>bis zur Höhe ihrer Ansprüche zahlungshalber ab.</w:t>
      </w:r>
    </w:p>
    <w:p w14:paraId="31BFBDAA" w14:textId="77777777" w:rsidR="00711FE8" w:rsidRDefault="00711FE8" w:rsidP="00967EC6">
      <w:pPr>
        <w:tabs>
          <w:tab w:val="left" w:pos="20"/>
          <w:tab w:val="right" w:pos="9360"/>
        </w:tabs>
        <w:rPr>
          <w:rFonts w:ascii="Arial" w:hAnsi="Arial"/>
          <w:sz w:val="18"/>
        </w:rPr>
      </w:pPr>
    </w:p>
    <w:p w14:paraId="23DC00B8" w14:textId="57F47019" w:rsidR="00711FE8" w:rsidRDefault="00711FE8" w:rsidP="00967EC6">
      <w:pPr>
        <w:tabs>
          <w:tab w:val="left" w:pos="20"/>
          <w:tab w:val="right" w:pos="9360"/>
        </w:tabs>
        <w:ind w:left="20" w:firstLine="240"/>
        <w:rPr>
          <w:rFonts w:ascii="Arial" w:hAnsi="Arial"/>
          <w:sz w:val="18"/>
        </w:rPr>
      </w:pPr>
      <w:r>
        <w:rPr>
          <w:rFonts w:ascii="Arial" w:hAnsi="Arial"/>
          <w:sz w:val="18"/>
        </w:rPr>
        <w:t xml:space="preserve">Die Bevollmächtigten sind berechtigt, die Handakten nach Ablauf von </w:t>
      </w:r>
      <w:r w:rsidR="004020BD">
        <w:rPr>
          <w:rFonts w:ascii="Arial" w:hAnsi="Arial"/>
          <w:sz w:val="18"/>
        </w:rPr>
        <w:t>5</w:t>
      </w:r>
      <w:r>
        <w:rPr>
          <w:rFonts w:ascii="Arial" w:hAnsi="Arial"/>
          <w:sz w:val="18"/>
        </w:rPr>
        <w:t xml:space="preserve"> Jahren seit Erledigung der Sache ohne vorherige Anfrage zu vernichten.</w:t>
      </w:r>
    </w:p>
    <w:p w14:paraId="4A146424" w14:textId="77777777" w:rsidR="00711FE8" w:rsidRDefault="00711FE8" w:rsidP="00967EC6">
      <w:pPr>
        <w:tabs>
          <w:tab w:val="left" w:pos="20"/>
          <w:tab w:val="right" w:pos="9360"/>
        </w:tabs>
        <w:rPr>
          <w:rFonts w:ascii="Arial" w:hAnsi="Arial"/>
          <w:sz w:val="18"/>
        </w:rPr>
      </w:pPr>
    </w:p>
    <w:p w14:paraId="0B5295FE" w14:textId="77777777" w:rsidR="00711FE8" w:rsidRDefault="00711FE8" w:rsidP="00967EC6">
      <w:pPr>
        <w:tabs>
          <w:tab w:val="left" w:pos="20"/>
          <w:tab w:val="right" w:pos="9360"/>
        </w:tabs>
        <w:ind w:left="20" w:firstLine="240"/>
        <w:rPr>
          <w:rFonts w:ascii="Arial" w:hAnsi="Arial"/>
          <w:sz w:val="18"/>
        </w:rPr>
      </w:pPr>
      <w:r>
        <w:rPr>
          <w:rFonts w:ascii="Arial" w:hAnsi="Arial"/>
          <w:sz w:val="18"/>
        </w:rPr>
        <w:t xml:space="preserve">Für die Erledigung von Streitigkeiten aus diesem Auftragsverhältnis </w:t>
      </w:r>
      <w:r>
        <w:rPr>
          <w:rFonts w:ascii="Arial" w:hAnsi="Arial"/>
          <w:b/>
          <w:sz w:val="18"/>
        </w:rPr>
        <w:t xml:space="preserve">werden die Gerichte am Geschäftssitz der Bevollmächtigten als zuständig anerkannt. </w:t>
      </w:r>
      <w:r>
        <w:rPr>
          <w:rFonts w:ascii="Arial" w:hAnsi="Arial"/>
          <w:sz w:val="18"/>
        </w:rPr>
        <w:t>Das schweizerische Recht ist anwendbar.</w:t>
      </w:r>
    </w:p>
    <w:p w14:paraId="7A50EDBD" w14:textId="77777777" w:rsidR="00711FE8" w:rsidRDefault="00711FE8" w:rsidP="00967EC6">
      <w:pPr>
        <w:tabs>
          <w:tab w:val="left" w:pos="20"/>
          <w:tab w:val="right" w:pos="9360"/>
        </w:tabs>
        <w:ind w:left="20"/>
        <w:rPr>
          <w:rFonts w:ascii="Arial" w:hAnsi="Arial"/>
          <w:sz w:val="18"/>
        </w:rPr>
      </w:pPr>
      <w:r>
        <w:rPr>
          <w:rFonts w:ascii="Arial" w:hAnsi="Arial"/>
          <w:sz w:val="18"/>
        </w:rPr>
        <w:tab/>
      </w:r>
    </w:p>
    <w:p w14:paraId="77DC8C8D" w14:textId="77777777" w:rsidR="00C44E25" w:rsidRDefault="00711FE8" w:rsidP="00C44AB6">
      <w:pPr>
        <w:tabs>
          <w:tab w:val="left" w:pos="20"/>
          <w:tab w:val="left" w:pos="3261"/>
          <w:tab w:val="left" w:pos="4962"/>
          <w:tab w:val="right" w:pos="9360"/>
        </w:tabs>
        <w:rPr>
          <w:rFonts w:ascii="Arial" w:hAnsi="Arial"/>
          <w:sz w:val="18"/>
        </w:rPr>
      </w:pPr>
      <w:r>
        <w:rPr>
          <w:rFonts w:ascii="Arial" w:hAnsi="Arial"/>
          <w:sz w:val="18"/>
        </w:rPr>
        <w:tab/>
      </w:r>
    </w:p>
    <w:p w14:paraId="687103FB" w14:textId="77777777" w:rsidR="00C44E25" w:rsidRDefault="00C44E25" w:rsidP="00C44AB6">
      <w:pPr>
        <w:tabs>
          <w:tab w:val="left" w:pos="20"/>
          <w:tab w:val="left" w:pos="3261"/>
          <w:tab w:val="left" w:pos="4962"/>
          <w:tab w:val="right" w:pos="9360"/>
        </w:tabs>
        <w:rPr>
          <w:rFonts w:ascii="Arial" w:hAnsi="Arial"/>
          <w:sz w:val="18"/>
        </w:rPr>
      </w:pPr>
    </w:p>
    <w:p w14:paraId="2A71C626" w14:textId="77777777" w:rsidR="00C44E25" w:rsidRDefault="00C44E25" w:rsidP="00C44AB6">
      <w:pPr>
        <w:tabs>
          <w:tab w:val="left" w:pos="20"/>
          <w:tab w:val="left" w:pos="3261"/>
          <w:tab w:val="left" w:pos="4962"/>
          <w:tab w:val="right" w:pos="9360"/>
        </w:tabs>
        <w:rPr>
          <w:rFonts w:ascii="Arial" w:hAnsi="Arial"/>
          <w:sz w:val="18"/>
        </w:rPr>
      </w:pPr>
    </w:p>
    <w:p w14:paraId="3E14DFF8" w14:textId="77777777" w:rsidR="00C44E25" w:rsidRDefault="00C44E25" w:rsidP="00C44AB6">
      <w:pPr>
        <w:tabs>
          <w:tab w:val="left" w:pos="20"/>
          <w:tab w:val="left" w:pos="3261"/>
          <w:tab w:val="left" w:pos="4962"/>
          <w:tab w:val="right" w:pos="9360"/>
        </w:tabs>
        <w:rPr>
          <w:rFonts w:ascii="Arial" w:hAnsi="Arial"/>
          <w:sz w:val="18"/>
        </w:rPr>
      </w:pPr>
    </w:p>
    <w:p w14:paraId="785A1781" w14:textId="69CB7A04" w:rsidR="00711FE8" w:rsidRDefault="00711FE8" w:rsidP="00C44AB6">
      <w:pPr>
        <w:tabs>
          <w:tab w:val="left" w:pos="20"/>
          <w:tab w:val="left" w:pos="3261"/>
          <w:tab w:val="left" w:pos="4962"/>
          <w:tab w:val="right" w:pos="9360"/>
        </w:tabs>
        <w:rPr>
          <w:rFonts w:ascii="Arial" w:hAnsi="Arial"/>
          <w:sz w:val="18"/>
        </w:rPr>
      </w:pPr>
      <w:r>
        <w:rPr>
          <w:rFonts w:ascii="Arial" w:hAnsi="Arial"/>
          <w:sz w:val="18"/>
        </w:rPr>
        <w:tab/>
      </w:r>
    </w:p>
    <w:p w14:paraId="6E513758" w14:textId="4D1A3B4C" w:rsidR="00711FE8" w:rsidRDefault="00C44E25" w:rsidP="00967EC6">
      <w:pPr>
        <w:tabs>
          <w:tab w:val="left" w:pos="20"/>
          <w:tab w:val="left" w:pos="3261"/>
          <w:tab w:val="left" w:pos="4962"/>
          <w:tab w:val="right" w:pos="9360"/>
        </w:tabs>
        <w:rPr>
          <w:rFonts w:ascii="Arial" w:hAnsi="Arial"/>
          <w:sz w:val="18"/>
        </w:rPr>
      </w:pPr>
      <w:r>
        <w:rPr>
          <w:rFonts w:ascii="Arial" w:hAnsi="Arial"/>
          <w:sz w:val="18"/>
        </w:rPr>
        <w:t xml:space="preserve">….., den </w:t>
      </w:r>
    </w:p>
    <w:p w14:paraId="6034326A" w14:textId="77777777" w:rsidR="005758E9" w:rsidRDefault="005758E9" w:rsidP="00967EC6">
      <w:pPr>
        <w:tabs>
          <w:tab w:val="left" w:pos="20"/>
          <w:tab w:val="left" w:pos="3261"/>
          <w:tab w:val="left" w:pos="4962"/>
          <w:tab w:val="right" w:pos="9360"/>
        </w:tabs>
        <w:rPr>
          <w:rFonts w:ascii="Arial" w:hAnsi="Arial"/>
          <w:sz w:val="18"/>
        </w:rPr>
      </w:pPr>
    </w:p>
    <w:p w14:paraId="79121368" w14:textId="77777777" w:rsidR="00DE3C9D" w:rsidRDefault="00DE3C9D" w:rsidP="00967EC6">
      <w:pPr>
        <w:tabs>
          <w:tab w:val="left" w:pos="20"/>
          <w:tab w:val="left" w:pos="3261"/>
          <w:tab w:val="left" w:pos="4962"/>
          <w:tab w:val="right" w:pos="9360"/>
        </w:tabs>
        <w:rPr>
          <w:rFonts w:ascii="Arial" w:hAnsi="Arial"/>
          <w:sz w:val="18"/>
        </w:rPr>
      </w:pPr>
    </w:p>
    <w:p w14:paraId="457F630F" w14:textId="77777777" w:rsidR="00DE3C9D" w:rsidRDefault="00DE3C9D" w:rsidP="00967EC6">
      <w:pPr>
        <w:tabs>
          <w:tab w:val="left" w:pos="20"/>
          <w:tab w:val="left" w:pos="3261"/>
          <w:tab w:val="left" w:pos="4962"/>
          <w:tab w:val="right" w:pos="9360"/>
        </w:tabs>
        <w:rPr>
          <w:rFonts w:ascii="Arial" w:hAnsi="Arial"/>
          <w:sz w:val="18"/>
        </w:rPr>
      </w:pPr>
    </w:p>
    <w:p w14:paraId="71193FB2" w14:textId="77777777" w:rsidR="00967EC6" w:rsidRDefault="00967EC6" w:rsidP="00967EC6">
      <w:pPr>
        <w:tabs>
          <w:tab w:val="left" w:pos="20"/>
          <w:tab w:val="left" w:pos="3261"/>
          <w:tab w:val="left" w:pos="4962"/>
          <w:tab w:val="right" w:pos="9360"/>
        </w:tabs>
        <w:rPr>
          <w:rFonts w:ascii="Arial" w:hAnsi="Arial"/>
          <w:sz w:val="18"/>
        </w:rPr>
      </w:pPr>
    </w:p>
    <w:p w14:paraId="70AD7783" w14:textId="77777777" w:rsidR="00967EC6" w:rsidRDefault="00967EC6" w:rsidP="00967EC6">
      <w:pPr>
        <w:tabs>
          <w:tab w:val="left" w:pos="20"/>
          <w:tab w:val="left" w:pos="3261"/>
          <w:tab w:val="left" w:pos="4962"/>
          <w:tab w:val="right" w:pos="9360"/>
        </w:tabs>
        <w:rPr>
          <w:rFonts w:ascii="Arial" w:hAnsi="Arial"/>
          <w:sz w:val="18"/>
        </w:rPr>
      </w:pPr>
    </w:p>
    <w:p w14:paraId="49CED380" w14:textId="5C131110" w:rsidR="00967EC6" w:rsidRDefault="00A11C8D" w:rsidP="00967EC6">
      <w:pPr>
        <w:tabs>
          <w:tab w:val="left" w:pos="20"/>
          <w:tab w:val="left" w:pos="3261"/>
          <w:tab w:val="left" w:pos="4962"/>
          <w:tab w:val="right" w:pos="9360"/>
        </w:tabs>
        <w:rPr>
          <w:rFonts w:ascii="Arial" w:hAnsi="Arial"/>
          <w:sz w:val="18"/>
        </w:rPr>
      </w:pPr>
      <w:r>
        <w:rPr>
          <w:rFonts w:ascii="Arial" w:hAnsi="Arial"/>
          <w:sz w:val="18"/>
        </w:rPr>
        <w:t xml:space="preserve">Unerschrift </w:t>
      </w:r>
      <w:r w:rsidR="00967EC6">
        <w:rPr>
          <w:rFonts w:ascii="Arial" w:hAnsi="Arial"/>
          <w:sz w:val="18"/>
        </w:rPr>
        <w:t>Klientschaft _________________________________________________</w:t>
      </w:r>
    </w:p>
    <w:p w14:paraId="1E94B988" w14:textId="18594476" w:rsidR="00711FE8" w:rsidRDefault="00711FE8">
      <w:pPr>
        <w:tabs>
          <w:tab w:val="left" w:pos="20"/>
          <w:tab w:val="left" w:pos="3261"/>
          <w:tab w:val="left" w:pos="4962"/>
          <w:tab w:val="right" w:pos="9360"/>
        </w:tabs>
        <w:rPr>
          <w:rFonts w:ascii="Arial" w:hAnsi="Arial"/>
          <w:sz w:val="10"/>
        </w:rPr>
      </w:pPr>
    </w:p>
    <w:p w14:paraId="33A4142C" w14:textId="38A6A364" w:rsidR="00C44E25" w:rsidRPr="00C44E25" w:rsidRDefault="00C44E25" w:rsidP="00C44E25">
      <w:pPr>
        <w:rPr>
          <w:rFonts w:ascii="Arial" w:hAnsi="Arial"/>
          <w:sz w:val="10"/>
        </w:rPr>
      </w:pPr>
    </w:p>
    <w:p w14:paraId="6BD71123" w14:textId="34B95571" w:rsidR="00C44E25" w:rsidRPr="00C44E25" w:rsidRDefault="00C44E25" w:rsidP="00C44E25">
      <w:pPr>
        <w:rPr>
          <w:rFonts w:ascii="Arial" w:hAnsi="Arial"/>
          <w:sz w:val="10"/>
        </w:rPr>
      </w:pPr>
    </w:p>
    <w:p w14:paraId="450F8EEA" w14:textId="00EA9010" w:rsidR="00C44E25" w:rsidRPr="00C44E25" w:rsidRDefault="00C44E25" w:rsidP="00C44E25">
      <w:pPr>
        <w:rPr>
          <w:rFonts w:ascii="Arial" w:hAnsi="Arial"/>
          <w:sz w:val="10"/>
        </w:rPr>
      </w:pPr>
    </w:p>
    <w:p w14:paraId="41A55C40" w14:textId="7FD0E40E" w:rsidR="00C44E25" w:rsidRPr="00C44E25" w:rsidRDefault="00C44E25" w:rsidP="00C44E25">
      <w:pPr>
        <w:rPr>
          <w:rFonts w:ascii="Arial" w:hAnsi="Arial"/>
          <w:sz w:val="10"/>
        </w:rPr>
      </w:pPr>
    </w:p>
    <w:p w14:paraId="0BC9EC78" w14:textId="5C8162FA" w:rsidR="00C44E25" w:rsidRPr="00C44E25" w:rsidRDefault="00C44E25" w:rsidP="00C44E25">
      <w:pPr>
        <w:rPr>
          <w:rFonts w:ascii="Arial" w:hAnsi="Arial"/>
          <w:sz w:val="10"/>
        </w:rPr>
      </w:pPr>
    </w:p>
    <w:p w14:paraId="6ABEF12D" w14:textId="3A373BD1" w:rsidR="00C44E25" w:rsidRPr="00C44E25" w:rsidRDefault="00C44E25" w:rsidP="00C44E25">
      <w:pPr>
        <w:rPr>
          <w:rFonts w:ascii="Arial" w:hAnsi="Arial"/>
          <w:sz w:val="10"/>
        </w:rPr>
      </w:pPr>
    </w:p>
    <w:p w14:paraId="73FE8D0D" w14:textId="07761A8C" w:rsidR="00C44E25" w:rsidRPr="00C44E25" w:rsidRDefault="00C44E25" w:rsidP="00C44E25">
      <w:pPr>
        <w:rPr>
          <w:rFonts w:ascii="Arial" w:hAnsi="Arial"/>
          <w:sz w:val="10"/>
        </w:rPr>
      </w:pPr>
    </w:p>
    <w:p w14:paraId="58E512D9" w14:textId="6710EC31" w:rsidR="00C44E25" w:rsidRPr="00C44E25" w:rsidRDefault="00C44E25" w:rsidP="00C44E25">
      <w:pPr>
        <w:rPr>
          <w:rFonts w:ascii="Arial" w:hAnsi="Arial"/>
          <w:sz w:val="10"/>
        </w:rPr>
      </w:pPr>
    </w:p>
    <w:p w14:paraId="0F41FA15" w14:textId="7123A8C7" w:rsidR="00C44E25" w:rsidRPr="00C44E25" w:rsidRDefault="00C44E25" w:rsidP="00C44E25">
      <w:pPr>
        <w:rPr>
          <w:rFonts w:ascii="Arial" w:hAnsi="Arial"/>
          <w:sz w:val="10"/>
        </w:rPr>
      </w:pPr>
    </w:p>
    <w:p w14:paraId="000EE07E" w14:textId="55C70189" w:rsidR="00C44E25" w:rsidRPr="00C44E25" w:rsidRDefault="00C44E25" w:rsidP="00C44E25">
      <w:pPr>
        <w:rPr>
          <w:rFonts w:ascii="Arial" w:hAnsi="Arial"/>
          <w:sz w:val="10"/>
        </w:rPr>
      </w:pPr>
    </w:p>
    <w:p w14:paraId="4E92D4B7" w14:textId="71F73FD4" w:rsidR="00C44E25" w:rsidRPr="00C44E25" w:rsidRDefault="00C44E25" w:rsidP="00C44E25">
      <w:pPr>
        <w:rPr>
          <w:rFonts w:ascii="Arial" w:hAnsi="Arial"/>
          <w:sz w:val="10"/>
        </w:rPr>
      </w:pPr>
    </w:p>
    <w:p w14:paraId="35588F91" w14:textId="218888B7" w:rsidR="00C44E25" w:rsidRPr="00C44E25" w:rsidRDefault="00C44E25" w:rsidP="00C44E25">
      <w:pPr>
        <w:rPr>
          <w:rFonts w:ascii="Arial" w:hAnsi="Arial"/>
          <w:sz w:val="10"/>
        </w:rPr>
      </w:pPr>
    </w:p>
    <w:p w14:paraId="0DF1A28F" w14:textId="09F605C5" w:rsidR="00C44E25" w:rsidRPr="00C44E25" w:rsidRDefault="00C44E25" w:rsidP="00C44E25">
      <w:pPr>
        <w:rPr>
          <w:rFonts w:ascii="Arial" w:hAnsi="Arial"/>
          <w:sz w:val="10"/>
        </w:rPr>
      </w:pPr>
    </w:p>
    <w:p w14:paraId="3E48046C" w14:textId="6BDE835D" w:rsidR="00C44E25" w:rsidRPr="00C44E25" w:rsidRDefault="00C44E25" w:rsidP="00C44E25">
      <w:pPr>
        <w:rPr>
          <w:rFonts w:ascii="Arial" w:hAnsi="Arial"/>
          <w:sz w:val="10"/>
        </w:rPr>
      </w:pPr>
    </w:p>
    <w:p w14:paraId="526288B6" w14:textId="292386C2" w:rsidR="00C44E25" w:rsidRPr="00C44E25" w:rsidRDefault="00C44E25" w:rsidP="00C44E25">
      <w:pPr>
        <w:rPr>
          <w:rFonts w:ascii="Arial" w:hAnsi="Arial"/>
          <w:sz w:val="10"/>
        </w:rPr>
      </w:pPr>
    </w:p>
    <w:p w14:paraId="52F595BE" w14:textId="327E8EFD" w:rsidR="00C44E25" w:rsidRPr="00C44E25" w:rsidRDefault="00C44E25" w:rsidP="00C44E25">
      <w:pPr>
        <w:rPr>
          <w:rFonts w:ascii="Arial" w:hAnsi="Arial"/>
          <w:sz w:val="10"/>
        </w:rPr>
      </w:pPr>
    </w:p>
    <w:p w14:paraId="3C404824" w14:textId="091C6AD1" w:rsidR="00C44E25" w:rsidRPr="00C44E25" w:rsidRDefault="00C44E25" w:rsidP="00C44E25">
      <w:pPr>
        <w:rPr>
          <w:rFonts w:ascii="Arial" w:hAnsi="Arial"/>
          <w:sz w:val="10"/>
        </w:rPr>
      </w:pPr>
    </w:p>
    <w:p w14:paraId="223A9052" w14:textId="3BBF5CB3" w:rsidR="00C44E25" w:rsidRPr="00C44E25" w:rsidRDefault="00C44E25" w:rsidP="00C44E25">
      <w:pPr>
        <w:rPr>
          <w:rFonts w:ascii="Arial" w:hAnsi="Arial"/>
          <w:sz w:val="10"/>
        </w:rPr>
      </w:pPr>
    </w:p>
    <w:p w14:paraId="375420BC" w14:textId="3178A0BE" w:rsidR="00C44E25" w:rsidRPr="00C44E25" w:rsidRDefault="00C44E25" w:rsidP="00C44E25">
      <w:pPr>
        <w:rPr>
          <w:rFonts w:ascii="Arial" w:hAnsi="Arial"/>
          <w:sz w:val="10"/>
        </w:rPr>
      </w:pPr>
    </w:p>
    <w:p w14:paraId="7BBB67B2" w14:textId="5F860D3A" w:rsidR="00C44E25" w:rsidRDefault="00C44E25" w:rsidP="00C44E25">
      <w:pPr>
        <w:rPr>
          <w:rFonts w:ascii="Arial" w:hAnsi="Arial"/>
          <w:sz w:val="10"/>
        </w:rPr>
      </w:pPr>
    </w:p>
    <w:p w14:paraId="34B643C3" w14:textId="4F525393" w:rsidR="00C44E25" w:rsidRPr="00C44E25" w:rsidRDefault="00C44E25" w:rsidP="00C44E25">
      <w:pPr>
        <w:rPr>
          <w:rFonts w:ascii="Arial" w:hAnsi="Arial"/>
          <w:sz w:val="10"/>
        </w:rPr>
      </w:pPr>
    </w:p>
    <w:p w14:paraId="3AD2D02F" w14:textId="77777777" w:rsidR="00C44E25" w:rsidRPr="00C44E25" w:rsidRDefault="00C44E25" w:rsidP="00C44E25">
      <w:pPr>
        <w:rPr>
          <w:rFonts w:ascii="Arial" w:hAnsi="Arial"/>
          <w:sz w:val="10"/>
        </w:rPr>
      </w:pPr>
    </w:p>
    <w:sectPr w:rsidR="00C44E25" w:rsidRPr="00C44E25">
      <w:pgSz w:w="11909" w:h="16834"/>
      <w:pgMar w:top="720" w:right="1109"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04C86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FE8"/>
    <w:rsid w:val="00014935"/>
    <w:rsid w:val="000D4CE5"/>
    <w:rsid w:val="00121A45"/>
    <w:rsid w:val="00122ECA"/>
    <w:rsid w:val="00151959"/>
    <w:rsid w:val="002233CA"/>
    <w:rsid w:val="00225AC9"/>
    <w:rsid w:val="003B460A"/>
    <w:rsid w:val="004020BD"/>
    <w:rsid w:val="0046374E"/>
    <w:rsid w:val="00560FA4"/>
    <w:rsid w:val="005758E9"/>
    <w:rsid w:val="006151CB"/>
    <w:rsid w:val="006E379B"/>
    <w:rsid w:val="00711FE8"/>
    <w:rsid w:val="00967EC6"/>
    <w:rsid w:val="009C7D46"/>
    <w:rsid w:val="00A11C8D"/>
    <w:rsid w:val="00A541CA"/>
    <w:rsid w:val="00AF52DD"/>
    <w:rsid w:val="00B47AE1"/>
    <w:rsid w:val="00BE0C68"/>
    <w:rsid w:val="00BF5279"/>
    <w:rsid w:val="00C13645"/>
    <w:rsid w:val="00C44AB6"/>
    <w:rsid w:val="00C44E25"/>
    <w:rsid w:val="00C63F31"/>
    <w:rsid w:val="00DE3C9D"/>
    <w:rsid w:val="00ED045E"/>
    <w:rsid w:val="00ED7CA9"/>
    <w:rsid w:val="00EF5C74"/>
    <w:rsid w:val="00F72A7C"/>
    <w:rsid w:val="00FB76C3"/>
    <w:rsid w:val="00FF530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56B450"/>
  <w14:defaultImageDpi w14:val="300"/>
  <w15:docId w15:val="{B11115B1-CF8B-0E4E-8DD7-D96FAAD9D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Geneva" w:hAnsi="Geneva"/>
      <w:noProof/>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kumentstruktur1">
    <w:name w:val="Dokumentstruktur1"/>
    <w:basedOn w:val="Standard"/>
    <w:pPr>
      <w:shd w:val="clear" w:color="auto" w:fill="000080"/>
    </w:pPr>
  </w:style>
  <w:style w:type="paragraph" w:styleId="Titel">
    <w:name w:val="Title"/>
    <w:basedOn w:val="Standard"/>
    <w:qFormat/>
    <w:pPr>
      <w:tabs>
        <w:tab w:val="left" w:pos="20"/>
        <w:tab w:val="right" w:pos="9360"/>
      </w:tabs>
      <w:ind w:left="20"/>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1593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Zürcher Anwaltsverband</vt:lpstr>
    </vt:vector>
  </TitlesOfParts>
  <Company>Grendelmeier &amp; Partner</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Zürcher Anwaltsverband</dc:title>
  <dc:subject/>
  <dc:creator>Schank</dc:creator>
  <cp:keywords/>
  <dc:description/>
  <cp:lastModifiedBy>mayr@ra-mayr.ch</cp:lastModifiedBy>
  <cp:revision>2</cp:revision>
  <cp:lastPrinted>2019-03-05T14:16:00Z</cp:lastPrinted>
  <dcterms:created xsi:type="dcterms:W3CDTF">2019-05-06T15:17:00Z</dcterms:created>
  <dcterms:modified xsi:type="dcterms:W3CDTF">2019-05-06T15:17:00Z</dcterms:modified>
</cp:coreProperties>
</file>